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B6FD0" w14:textId="77777777" w:rsidR="008B74F8" w:rsidRPr="000960F5" w:rsidRDefault="008B74F8" w:rsidP="007E06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140BB6D" wp14:editId="3B6318D1">
            <wp:extent cx="457200" cy="502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D600B" w14:textId="77777777" w:rsidR="008B74F8" w:rsidRPr="000960F5" w:rsidRDefault="008B74F8" w:rsidP="007E068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hAnsi="Times New Roman"/>
          <w:sz w:val="52"/>
        </w:rPr>
      </w:pPr>
      <w:r w:rsidRPr="000960F5">
        <w:rPr>
          <w:rFonts w:ascii="Times New Roman" w:hAnsi="Times New Roman"/>
          <w:sz w:val="52"/>
        </w:rPr>
        <w:t>TRIBUNALE di GENOVA</w:t>
      </w:r>
    </w:p>
    <w:p w14:paraId="5B2A6BE6" w14:textId="77777777" w:rsidR="008B74F8" w:rsidRDefault="008B74F8" w:rsidP="007E068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hAnsi="Times New Roman"/>
          <w:sz w:val="32"/>
        </w:rPr>
      </w:pPr>
      <w:r w:rsidRPr="000960F5">
        <w:rPr>
          <w:rFonts w:ascii="Times New Roman" w:hAnsi="Times New Roman"/>
          <w:sz w:val="32"/>
        </w:rPr>
        <w:t xml:space="preserve">Sezione </w:t>
      </w:r>
      <w:r>
        <w:rPr>
          <w:rFonts w:ascii="Times New Roman" w:hAnsi="Times New Roman"/>
          <w:sz w:val="32"/>
        </w:rPr>
        <w:t>S</w:t>
      </w:r>
      <w:r w:rsidR="00542037">
        <w:rPr>
          <w:rFonts w:ascii="Times New Roman" w:hAnsi="Times New Roman"/>
          <w:sz w:val="32"/>
        </w:rPr>
        <w:t>ettima</w:t>
      </w:r>
      <w:r>
        <w:rPr>
          <w:rFonts w:ascii="Times New Roman" w:hAnsi="Times New Roman"/>
          <w:sz w:val="32"/>
        </w:rPr>
        <w:t xml:space="preserve"> </w:t>
      </w:r>
      <w:r w:rsidRPr="000960F5">
        <w:rPr>
          <w:rFonts w:ascii="Times New Roman" w:hAnsi="Times New Roman"/>
          <w:sz w:val="32"/>
        </w:rPr>
        <w:t>Civile</w:t>
      </w:r>
      <w:r w:rsidR="00936299">
        <w:rPr>
          <w:rFonts w:ascii="Times New Roman" w:hAnsi="Times New Roman"/>
          <w:sz w:val="32"/>
        </w:rPr>
        <w:t xml:space="preserve"> - Fallimentare</w:t>
      </w:r>
    </w:p>
    <w:p w14:paraId="057A3199" w14:textId="77777777" w:rsidR="008B74F8" w:rsidRPr="000960F5" w:rsidRDefault="008B74F8" w:rsidP="007E068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Il Presidente</w:t>
      </w:r>
      <w:r w:rsidR="00936299">
        <w:rPr>
          <w:rFonts w:ascii="Times New Roman" w:hAnsi="Times New Roman"/>
          <w:sz w:val="32"/>
        </w:rPr>
        <w:t xml:space="preserve"> di Sezione</w:t>
      </w:r>
    </w:p>
    <w:p w14:paraId="3BCD624B" w14:textId="77777777" w:rsidR="00654284" w:rsidRDefault="00654284" w:rsidP="007E068E">
      <w:pPr>
        <w:rPr>
          <w:rFonts w:ascii="Times New Roman" w:hAnsi="Times New Roman"/>
          <w:sz w:val="28"/>
          <w:szCs w:val="28"/>
        </w:rPr>
      </w:pPr>
    </w:p>
    <w:p w14:paraId="68B56E8F" w14:textId="14E40F46" w:rsidR="00017818" w:rsidRDefault="00017818" w:rsidP="007E06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Ai </w:t>
      </w:r>
      <w:proofErr w:type="spellStart"/>
      <w:r>
        <w:rPr>
          <w:rFonts w:ascii="Times New Roman" w:hAnsi="Times New Roman"/>
          <w:sz w:val="28"/>
          <w:szCs w:val="28"/>
        </w:rPr>
        <w:t>sigg.ri</w:t>
      </w:r>
      <w:proofErr w:type="spellEnd"/>
      <w:r>
        <w:rPr>
          <w:rFonts w:ascii="Times New Roman" w:hAnsi="Times New Roman"/>
          <w:sz w:val="28"/>
          <w:szCs w:val="28"/>
        </w:rPr>
        <w:t xml:space="preserve"> Delegati alle vendite  </w:t>
      </w:r>
    </w:p>
    <w:p w14:paraId="0ECB6904" w14:textId="77777777" w:rsidR="007E068E" w:rsidRDefault="007E068E" w:rsidP="007E06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Direttore della Cancelleria Esecuzioni Immobiliari</w:t>
      </w:r>
    </w:p>
    <w:p w14:paraId="4822BC6F" w14:textId="1CC0B15B" w:rsidR="00017818" w:rsidRDefault="007E068E" w:rsidP="007E06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</w:t>
      </w:r>
      <w:r w:rsidR="0062047C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Cancelleri</w:t>
      </w:r>
      <w:r w:rsidR="0062047C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delle Esecuzioni Immobiliari</w:t>
      </w:r>
    </w:p>
    <w:p w14:paraId="7ED94B00" w14:textId="77777777" w:rsidR="007E068E" w:rsidRDefault="007E068E" w:rsidP="007E068E">
      <w:pPr>
        <w:rPr>
          <w:rFonts w:ascii="Times New Roman" w:hAnsi="Times New Roman"/>
          <w:sz w:val="28"/>
          <w:szCs w:val="28"/>
        </w:rPr>
      </w:pPr>
    </w:p>
    <w:p w14:paraId="7260A1D2" w14:textId="71157137" w:rsidR="00017818" w:rsidRPr="007E068E" w:rsidRDefault="00017818" w:rsidP="007E068E">
      <w:pPr>
        <w:rPr>
          <w:rFonts w:ascii="Times New Roman" w:hAnsi="Times New Roman"/>
          <w:b/>
          <w:sz w:val="32"/>
          <w:szCs w:val="32"/>
          <w:u w:val="single"/>
        </w:rPr>
      </w:pPr>
      <w:r w:rsidRPr="007E068E">
        <w:rPr>
          <w:rFonts w:ascii="Times New Roman" w:hAnsi="Times New Roman"/>
          <w:b/>
          <w:sz w:val="32"/>
          <w:szCs w:val="32"/>
          <w:u w:val="single"/>
        </w:rPr>
        <w:t xml:space="preserve">Disposizione organizzativa n. </w:t>
      </w:r>
      <w:r w:rsidR="005E0904">
        <w:rPr>
          <w:rFonts w:ascii="Times New Roman" w:hAnsi="Times New Roman"/>
          <w:b/>
          <w:sz w:val="32"/>
          <w:szCs w:val="32"/>
          <w:u w:val="single"/>
        </w:rPr>
        <w:t>19</w:t>
      </w:r>
      <w:r w:rsidRPr="007E068E">
        <w:rPr>
          <w:rFonts w:ascii="Times New Roman" w:hAnsi="Times New Roman"/>
          <w:b/>
          <w:sz w:val="32"/>
          <w:szCs w:val="32"/>
          <w:u w:val="single"/>
        </w:rPr>
        <w:t xml:space="preserve">/2021: </w:t>
      </w:r>
      <w:r w:rsidR="0062047C">
        <w:rPr>
          <w:rFonts w:ascii="Times New Roman" w:hAnsi="Times New Roman"/>
          <w:b/>
          <w:sz w:val="32"/>
          <w:szCs w:val="32"/>
          <w:u w:val="single"/>
        </w:rPr>
        <w:t xml:space="preserve">note di precisazione dei crediti e </w:t>
      </w:r>
      <w:r w:rsidR="00A07B2C">
        <w:rPr>
          <w:rFonts w:ascii="Times New Roman" w:hAnsi="Times New Roman"/>
          <w:b/>
          <w:sz w:val="32"/>
          <w:szCs w:val="32"/>
          <w:u w:val="single"/>
        </w:rPr>
        <w:t>liquidazioni dei compensi nelle procedure espropriative – visibilità</w:t>
      </w:r>
      <w:r w:rsidR="0062047C">
        <w:rPr>
          <w:rFonts w:ascii="Times New Roman" w:hAnsi="Times New Roman"/>
          <w:b/>
          <w:sz w:val="32"/>
          <w:szCs w:val="32"/>
          <w:u w:val="single"/>
        </w:rPr>
        <w:t>.</w:t>
      </w:r>
    </w:p>
    <w:p w14:paraId="7A8B354B" w14:textId="77777777" w:rsidR="00017818" w:rsidRDefault="00017818" w:rsidP="007E068E">
      <w:pPr>
        <w:rPr>
          <w:rFonts w:ascii="Times New Roman" w:hAnsi="Times New Roman"/>
          <w:sz w:val="28"/>
          <w:szCs w:val="28"/>
        </w:rPr>
      </w:pPr>
    </w:p>
    <w:p w14:paraId="6F975BF6" w14:textId="4A2FAA2E" w:rsidR="00A07B2C" w:rsidRDefault="00017818" w:rsidP="007E068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Comunico che nell</w:t>
      </w:r>
      <w:r w:rsidR="0062047C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ri</w:t>
      </w:r>
      <w:r w:rsidR="007E068E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nion</w:t>
      </w:r>
      <w:r w:rsidR="0062047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organizzativ</w:t>
      </w:r>
      <w:r w:rsidR="0062047C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del </w:t>
      </w:r>
      <w:r w:rsidR="0062047C">
        <w:rPr>
          <w:rFonts w:ascii="Times New Roman" w:hAnsi="Times New Roman"/>
          <w:sz w:val="28"/>
          <w:szCs w:val="28"/>
        </w:rPr>
        <w:t xml:space="preserve">16 e </w:t>
      </w:r>
      <w:r>
        <w:rPr>
          <w:rFonts w:ascii="Times New Roman" w:hAnsi="Times New Roman"/>
          <w:sz w:val="28"/>
          <w:szCs w:val="28"/>
        </w:rPr>
        <w:t>23 settembre scorso, i Giudici della 7^ Sezi</w:t>
      </w:r>
      <w:r w:rsidR="007E068E">
        <w:rPr>
          <w:rFonts w:ascii="Times New Roman" w:hAnsi="Times New Roman"/>
          <w:sz w:val="28"/>
          <w:szCs w:val="28"/>
        </w:rPr>
        <w:t>one</w:t>
      </w:r>
      <w:r>
        <w:rPr>
          <w:rFonts w:ascii="Times New Roman" w:hAnsi="Times New Roman"/>
          <w:sz w:val="28"/>
          <w:szCs w:val="28"/>
        </w:rPr>
        <w:t xml:space="preserve"> </w:t>
      </w:r>
      <w:r w:rsidR="007E068E">
        <w:rPr>
          <w:rFonts w:ascii="Times New Roman" w:hAnsi="Times New Roman"/>
          <w:sz w:val="28"/>
          <w:szCs w:val="28"/>
        </w:rPr>
        <w:t xml:space="preserve">Civile </w:t>
      </w:r>
      <w:r>
        <w:rPr>
          <w:rFonts w:ascii="Times New Roman" w:hAnsi="Times New Roman"/>
          <w:sz w:val="28"/>
          <w:szCs w:val="28"/>
        </w:rPr>
        <w:t xml:space="preserve">hanno </w:t>
      </w:r>
      <w:r w:rsidR="00A07B2C">
        <w:rPr>
          <w:rFonts w:ascii="Times New Roman" w:hAnsi="Times New Roman"/>
          <w:sz w:val="28"/>
          <w:szCs w:val="28"/>
        </w:rPr>
        <w:t xml:space="preserve">rilevato una duplicazione </w:t>
      </w:r>
      <w:r w:rsidR="0062047C">
        <w:rPr>
          <w:rFonts w:ascii="Times New Roman" w:hAnsi="Times New Roman"/>
          <w:sz w:val="28"/>
          <w:szCs w:val="28"/>
        </w:rPr>
        <w:t>n</w:t>
      </w:r>
      <w:r w:rsidR="00A07B2C">
        <w:rPr>
          <w:rFonts w:ascii="Times New Roman" w:hAnsi="Times New Roman"/>
          <w:sz w:val="28"/>
          <w:szCs w:val="28"/>
        </w:rPr>
        <w:t>ell</w:t>
      </w:r>
      <w:r w:rsidR="0062047C">
        <w:rPr>
          <w:rFonts w:ascii="Times New Roman" w:hAnsi="Times New Roman"/>
          <w:sz w:val="28"/>
          <w:szCs w:val="28"/>
        </w:rPr>
        <w:t xml:space="preserve">’attività </w:t>
      </w:r>
      <w:proofErr w:type="gramStart"/>
      <w:r w:rsidR="0062047C">
        <w:rPr>
          <w:rFonts w:ascii="Times New Roman" w:hAnsi="Times New Roman"/>
          <w:sz w:val="28"/>
          <w:szCs w:val="28"/>
        </w:rPr>
        <w:t xml:space="preserve">di </w:t>
      </w:r>
      <w:r w:rsidR="00A07B2C">
        <w:rPr>
          <w:rFonts w:ascii="Times New Roman" w:hAnsi="Times New Roman"/>
          <w:sz w:val="28"/>
          <w:szCs w:val="28"/>
        </w:rPr>
        <w:t xml:space="preserve"> esame</w:t>
      </w:r>
      <w:proofErr w:type="gramEnd"/>
      <w:r w:rsidR="00A07B2C">
        <w:rPr>
          <w:rFonts w:ascii="Times New Roman" w:hAnsi="Times New Roman"/>
          <w:sz w:val="28"/>
          <w:szCs w:val="28"/>
        </w:rPr>
        <w:t xml:space="preserve"> delle note di precisazione dei crediti e connesse richieste di determinazione delle competenze professionali dei difensori che assistono i creditori procedenti ed intervenuti: richieste, che trovano un </w:t>
      </w:r>
      <w:r w:rsidR="00DE2C35">
        <w:rPr>
          <w:rFonts w:ascii="Times New Roman" w:hAnsi="Times New Roman"/>
          <w:sz w:val="28"/>
          <w:szCs w:val="28"/>
        </w:rPr>
        <w:t xml:space="preserve">preciso </w:t>
      </w:r>
      <w:r w:rsidR="00A07B2C">
        <w:rPr>
          <w:rFonts w:ascii="Times New Roman" w:hAnsi="Times New Roman"/>
          <w:sz w:val="28"/>
          <w:szCs w:val="28"/>
        </w:rPr>
        <w:t>momento di verifica giudiziale nella fase di</w:t>
      </w:r>
      <w:r w:rsidR="00DE2C35">
        <w:rPr>
          <w:rFonts w:ascii="Times New Roman" w:hAnsi="Times New Roman"/>
          <w:sz w:val="28"/>
          <w:szCs w:val="28"/>
        </w:rPr>
        <w:t xml:space="preserve"> </w:t>
      </w:r>
      <w:r w:rsidR="00A07B2C">
        <w:rPr>
          <w:rFonts w:ascii="Times New Roman" w:hAnsi="Times New Roman"/>
          <w:sz w:val="28"/>
          <w:szCs w:val="28"/>
        </w:rPr>
        <w:t xml:space="preserve">predisposizione del progetto di distribuzione. </w:t>
      </w:r>
    </w:p>
    <w:p w14:paraId="2DC18229" w14:textId="73DC85D8" w:rsidR="00DE2C35" w:rsidRDefault="00A07B2C" w:rsidP="00A07B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07B2C">
        <w:rPr>
          <w:rFonts w:ascii="Times New Roman" w:hAnsi="Times New Roman"/>
          <w:sz w:val="28"/>
          <w:szCs w:val="28"/>
        </w:rPr>
        <w:t xml:space="preserve">Al fine </w:t>
      </w:r>
      <w:r>
        <w:rPr>
          <w:rFonts w:ascii="Times New Roman" w:hAnsi="Times New Roman"/>
          <w:sz w:val="28"/>
          <w:szCs w:val="28"/>
        </w:rPr>
        <w:t xml:space="preserve">perciò </w:t>
      </w:r>
      <w:r w:rsidRPr="00A07B2C">
        <w:rPr>
          <w:rFonts w:ascii="Times New Roman" w:hAnsi="Times New Roman"/>
          <w:sz w:val="28"/>
          <w:szCs w:val="28"/>
        </w:rPr>
        <w:t xml:space="preserve">di accelerare </w:t>
      </w:r>
      <w:r>
        <w:rPr>
          <w:rFonts w:ascii="Times New Roman" w:hAnsi="Times New Roman"/>
          <w:sz w:val="28"/>
          <w:szCs w:val="28"/>
        </w:rPr>
        <w:t xml:space="preserve">proprio </w:t>
      </w:r>
      <w:r w:rsidRPr="00A07B2C">
        <w:rPr>
          <w:rFonts w:ascii="Times New Roman" w:hAnsi="Times New Roman"/>
          <w:sz w:val="28"/>
          <w:szCs w:val="28"/>
        </w:rPr>
        <w:t>la predisposizione dei progetti di distribuzione nelle espropriazioni   immobiliari</w:t>
      </w:r>
      <w:r>
        <w:rPr>
          <w:rFonts w:ascii="Times New Roman" w:hAnsi="Times New Roman"/>
          <w:sz w:val="28"/>
          <w:szCs w:val="28"/>
        </w:rPr>
        <w:t>, si dispone che i delegati al</w:t>
      </w:r>
      <w:r w:rsidR="00DE2C35">
        <w:rPr>
          <w:rFonts w:ascii="Times New Roman" w:hAnsi="Times New Roman"/>
          <w:sz w:val="28"/>
          <w:szCs w:val="28"/>
        </w:rPr>
        <w:t>le</w:t>
      </w:r>
      <w:r>
        <w:rPr>
          <w:rFonts w:ascii="Times New Roman" w:hAnsi="Times New Roman"/>
          <w:sz w:val="28"/>
          <w:szCs w:val="28"/>
        </w:rPr>
        <w:t xml:space="preserve"> vendite </w:t>
      </w:r>
      <w:r w:rsidRPr="0062047C">
        <w:rPr>
          <w:rFonts w:ascii="Times New Roman" w:hAnsi="Times New Roman"/>
          <w:b/>
          <w:sz w:val="28"/>
          <w:szCs w:val="28"/>
          <w:u w:val="single"/>
        </w:rPr>
        <w:t>prendano in esame immediatamente</w:t>
      </w:r>
      <w:r>
        <w:rPr>
          <w:rFonts w:ascii="Times New Roman" w:hAnsi="Times New Roman"/>
          <w:sz w:val="28"/>
          <w:szCs w:val="28"/>
        </w:rPr>
        <w:t xml:space="preserve">, al momento del loro deposito, </w:t>
      </w:r>
      <w:r w:rsidRPr="0062047C">
        <w:rPr>
          <w:rFonts w:ascii="Times New Roman" w:hAnsi="Times New Roman"/>
          <w:b/>
          <w:sz w:val="28"/>
          <w:szCs w:val="28"/>
          <w:u w:val="single"/>
        </w:rPr>
        <w:t>le note di precisazione dei c</w:t>
      </w:r>
      <w:r w:rsidR="00DE2C35" w:rsidRPr="0062047C">
        <w:rPr>
          <w:rFonts w:ascii="Times New Roman" w:hAnsi="Times New Roman"/>
          <w:b/>
          <w:sz w:val="28"/>
          <w:szCs w:val="28"/>
          <w:u w:val="single"/>
        </w:rPr>
        <w:t>r</w:t>
      </w:r>
      <w:r w:rsidRPr="0062047C">
        <w:rPr>
          <w:rFonts w:ascii="Times New Roman" w:hAnsi="Times New Roman"/>
          <w:b/>
          <w:sz w:val="28"/>
          <w:szCs w:val="28"/>
          <w:u w:val="single"/>
        </w:rPr>
        <w:t>editi</w:t>
      </w:r>
      <w:r>
        <w:rPr>
          <w:rFonts w:ascii="Times New Roman" w:hAnsi="Times New Roman"/>
          <w:sz w:val="28"/>
          <w:szCs w:val="28"/>
        </w:rPr>
        <w:t xml:space="preserve"> pervenute senza attendere istruzioni o prov</w:t>
      </w:r>
      <w:r w:rsidR="00DE2C35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edimenti ulteriori </w:t>
      </w:r>
      <w:r w:rsidR="00DE2C35">
        <w:rPr>
          <w:rFonts w:ascii="Times New Roman" w:hAnsi="Times New Roman"/>
          <w:sz w:val="28"/>
          <w:szCs w:val="28"/>
        </w:rPr>
        <w:t xml:space="preserve">dei G.E. </w:t>
      </w:r>
      <w:r>
        <w:rPr>
          <w:rFonts w:ascii="Times New Roman" w:hAnsi="Times New Roman"/>
          <w:sz w:val="28"/>
          <w:szCs w:val="28"/>
        </w:rPr>
        <w:t xml:space="preserve">e </w:t>
      </w:r>
      <w:r w:rsidR="00DE2C35">
        <w:rPr>
          <w:rFonts w:ascii="Times New Roman" w:hAnsi="Times New Roman"/>
          <w:sz w:val="28"/>
          <w:szCs w:val="28"/>
        </w:rPr>
        <w:t xml:space="preserve">ne tengano conto </w:t>
      </w:r>
      <w:r>
        <w:rPr>
          <w:rFonts w:ascii="Times New Roman" w:hAnsi="Times New Roman"/>
          <w:sz w:val="28"/>
          <w:szCs w:val="28"/>
        </w:rPr>
        <w:t xml:space="preserve">determinando provvisoriamente </w:t>
      </w:r>
      <w:r w:rsidR="001A28E3">
        <w:rPr>
          <w:rFonts w:ascii="Times New Roman" w:hAnsi="Times New Roman"/>
          <w:sz w:val="28"/>
          <w:szCs w:val="28"/>
        </w:rPr>
        <w:t xml:space="preserve">- </w:t>
      </w:r>
      <w:r w:rsidR="0062047C">
        <w:rPr>
          <w:rFonts w:ascii="Times New Roman" w:hAnsi="Times New Roman"/>
          <w:sz w:val="28"/>
          <w:szCs w:val="28"/>
        </w:rPr>
        <w:t xml:space="preserve">per capitale, accessori e spese </w:t>
      </w:r>
      <w:r w:rsidR="001A28E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i crediti azionati esecutivamente sulla base di quanto congruamente documentato dalle parti creditrici.</w:t>
      </w:r>
    </w:p>
    <w:p w14:paraId="4ED70618" w14:textId="1C5D9119" w:rsidR="00A07B2C" w:rsidRDefault="00DE2C35" w:rsidP="00A07B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In particolare, e con riserva della Sezione di formulare </w:t>
      </w:r>
      <w:r w:rsidR="0062047C">
        <w:rPr>
          <w:rFonts w:ascii="Times New Roman" w:hAnsi="Times New Roman"/>
          <w:sz w:val="28"/>
          <w:szCs w:val="28"/>
        </w:rPr>
        <w:t xml:space="preserve">(sull’esempio di altri </w:t>
      </w:r>
      <w:r w:rsidR="001A28E3">
        <w:rPr>
          <w:rFonts w:ascii="Times New Roman" w:hAnsi="Times New Roman"/>
          <w:sz w:val="28"/>
          <w:szCs w:val="28"/>
        </w:rPr>
        <w:t>U</w:t>
      </w:r>
      <w:r w:rsidR="0062047C">
        <w:rPr>
          <w:rFonts w:ascii="Times New Roman" w:hAnsi="Times New Roman"/>
          <w:sz w:val="28"/>
          <w:szCs w:val="28"/>
        </w:rPr>
        <w:t xml:space="preserve">ffici e in linea con la previsione di cui all’art. 10 </w:t>
      </w:r>
      <w:proofErr w:type="spellStart"/>
      <w:r w:rsidR="0062047C">
        <w:rPr>
          <w:rFonts w:ascii="Times New Roman" w:hAnsi="Times New Roman"/>
          <w:sz w:val="28"/>
          <w:szCs w:val="28"/>
        </w:rPr>
        <w:t>lett</w:t>
      </w:r>
      <w:proofErr w:type="spellEnd"/>
      <w:r w:rsidR="0062047C">
        <w:rPr>
          <w:rFonts w:ascii="Times New Roman" w:hAnsi="Times New Roman"/>
          <w:sz w:val="28"/>
          <w:szCs w:val="28"/>
        </w:rPr>
        <w:t xml:space="preserve">. </w:t>
      </w:r>
      <w:r w:rsidR="00452A72">
        <w:rPr>
          <w:rFonts w:ascii="Times New Roman" w:hAnsi="Times New Roman"/>
          <w:sz w:val="28"/>
          <w:szCs w:val="28"/>
        </w:rPr>
        <w:t>m</w:t>
      </w:r>
      <w:r w:rsidR="0062047C">
        <w:rPr>
          <w:rFonts w:ascii="Times New Roman" w:hAnsi="Times New Roman"/>
          <w:sz w:val="28"/>
          <w:szCs w:val="28"/>
        </w:rPr>
        <w:t xml:space="preserve">) del </w:t>
      </w:r>
      <w:proofErr w:type="spellStart"/>
      <w:r w:rsidR="0062047C">
        <w:rPr>
          <w:rFonts w:ascii="Times New Roman" w:hAnsi="Times New Roman"/>
          <w:sz w:val="28"/>
          <w:szCs w:val="28"/>
        </w:rPr>
        <w:t>d.d.l.</w:t>
      </w:r>
      <w:proofErr w:type="spellEnd"/>
      <w:r w:rsidR="001A28E3">
        <w:rPr>
          <w:rFonts w:ascii="Times New Roman" w:hAnsi="Times New Roman"/>
          <w:sz w:val="28"/>
          <w:szCs w:val="28"/>
        </w:rPr>
        <w:t xml:space="preserve"> A.S. 1662 </w:t>
      </w:r>
      <w:r w:rsidR="0062047C">
        <w:rPr>
          <w:rFonts w:ascii="Times New Roman" w:hAnsi="Times New Roman"/>
          <w:sz w:val="28"/>
          <w:szCs w:val="28"/>
        </w:rPr>
        <w:t xml:space="preserve"> di riforma del rito civile) </w:t>
      </w:r>
      <w:r>
        <w:rPr>
          <w:rFonts w:ascii="Times New Roman" w:hAnsi="Times New Roman"/>
          <w:sz w:val="28"/>
          <w:szCs w:val="28"/>
        </w:rPr>
        <w:t>più analitiche istruzioni riguardo all’ammissione dei crediti in fase distributiva, fin d’ora si invitano i delegati al</w:t>
      </w:r>
      <w:r w:rsidR="00452A72">
        <w:rPr>
          <w:rFonts w:ascii="Times New Roman" w:hAnsi="Times New Roman"/>
          <w:sz w:val="28"/>
          <w:szCs w:val="28"/>
        </w:rPr>
        <w:t>le</w:t>
      </w:r>
      <w:r>
        <w:rPr>
          <w:rFonts w:ascii="Times New Roman" w:hAnsi="Times New Roman"/>
          <w:sz w:val="28"/>
          <w:szCs w:val="28"/>
        </w:rPr>
        <w:t xml:space="preserve"> vendite a verificare che nelle note di p.c. siano inseriti unicamente i crediti azionati tempestivamente, con esclusione di quelli non assistiti da corris</w:t>
      </w:r>
      <w:r w:rsidR="00452A72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ondente titolo esecutivo: </w:t>
      </w:r>
      <w:r w:rsidR="001A28E3">
        <w:rPr>
          <w:rFonts w:ascii="Times New Roman" w:hAnsi="Times New Roman"/>
          <w:sz w:val="28"/>
          <w:szCs w:val="28"/>
        </w:rPr>
        <w:t xml:space="preserve">situazione e </w:t>
      </w:r>
      <w:r>
        <w:rPr>
          <w:rFonts w:ascii="Times New Roman" w:hAnsi="Times New Roman"/>
          <w:sz w:val="28"/>
          <w:szCs w:val="28"/>
        </w:rPr>
        <w:t xml:space="preserve">problematica che ricorre </w:t>
      </w:r>
      <w:r w:rsidR="001A28E3">
        <w:rPr>
          <w:rFonts w:ascii="Times New Roman" w:hAnsi="Times New Roman"/>
          <w:sz w:val="28"/>
          <w:szCs w:val="28"/>
        </w:rPr>
        <w:t xml:space="preserve">in particolare </w:t>
      </w:r>
      <w:r>
        <w:rPr>
          <w:rFonts w:ascii="Times New Roman" w:hAnsi="Times New Roman"/>
          <w:sz w:val="28"/>
          <w:szCs w:val="28"/>
        </w:rPr>
        <w:t xml:space="preserve"> in tema di crediti condominiali </w:t>
      </w:r>
      <w:r w:rsidR="00452A72">
        <w:rPr>
          <w:rFonts w:ascii="Times New Roman" w:hAnsi="Times New Roman"/>
          <w:sz w:val="28"/>
          <w:szCs w:val="28"/>
        </w:rPr>
        <w:t>maturati in corso di procedura, sovente inseriti nelle note di p.c. senza che ricorrano estremi di ammissibilità</w:t>
      </w:r>
      <w:r>
        <w:rPr>
          <w:rFonts w:ascii="Times New Roman" w:hAnsi="Times New Roman"/>
          <w:sz w:val="28"/>
          <w:szCs w:val="28"/>
        </w:rPr>
        <w:t xml:space="preserve">. </w:t>
      </w:r>
      <w:r w:rsidR="00A07B2C">
        <w:rPr>
          <w:rFonts w:ascii="Times New Roman" w:hAnsi="Times New Roman"/>
          <w:sz w:val="28"/>
          <w:szCs w:val="28"/>
        </w:rPr>
        <w:t xml:space="preserve"> </w:t>
      </w:r>
    </w:p>
    <w:p w14:paraId="48B18C4A" w14:textId="6012FB92" w:rsidR="00A07B2C" w:rsidRDefault="00A07B2C" w:rsidP="00DE2C3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Quanto ai </w:t>
      </w:r>
      <w:r w:rsidRPr="00452A72">
        <w:rPr>
          <w:rFonts w:ascii="Times New Roman" w:hAnsi="Times New Roman"/>
          <w:b/>
          <w:sz w:val="28"/>
          <w:szCs w:val="28"/>
          <w:u w:val="single"/>
        </w:rPr>
        <w:t>compensi professionali</w:t>
      </w:r>
      <w:r>
        <w:rPr>
          <w:rFonts w:ascii="Times New Roman" w:hAnsi="Times New Roman"/>
          <w:sz w:val="28"/>
          <w:szCs w:val="28"/>
        </w:rPr>
        <w:t xml:space="preserve">, </w:t>
      </w:r>
      <w:r w:rsidR="00DE2C35">
        <w:rPr>
          <w:rFonts w:ascii="Times New Roman" w:hAnsi="Times New Roman"/>
          <w:sz w:val="28"/>
          <w:szCs w:val="28"/>
        </w:rPr>
        <w:t>cui vanno aggiunte le</w:t>
      </w:r>
      <w:r>
        <w:rPr>
          <w:rFonts w:ascii="Times New Roman" w:hAnsi="Times New Roman"/>
          <w:sz w:val="28"/>
          <w:szCs w:val="28"/>
        </w:rPr>
        <w:t xml:space="preserve"> spese </w:t>
      </w:r>
      <w:r w:rsidR="00452A72">
        <w:rPr>
          <w:rFonts w:ascii="Times New Roman" w:hAnsi="Times New Roman"/>
          <w:sz w:val="28"/>
          <w:szCs w:val="28"/>
        </w:rPr>
        <w:t xml:space="preserve">giudiziali </w:t>
      </w:r>
      <w:r>
        <w:rPr>
          <w:rFonts w:ascii="Times New Roman" w:hAnsi="Times New Roman"/>
          <w:sz w:val="28"/>
          <w:szCs w:val="28"/>
        </w:rPr>
        <w:t xml:space="preserve">esposte </w:t>
      </w:r>
      <w:r w:rsidRPr="00A07B2C">
        <w:rPr>
          <w:rFonts w:ascii="Times New Roman" w:hAnsi="Times New Roman"/>
          <w:sz w:val="28"/>
          <w:szCs w:val="28"/>
        </w:rPr>
        <w:t>in quanto documentate, pertinent</w:t>
      </w:r>
      <w:r w:rsidR="00452A72">
        <w:rPr>
          <w:rFonts w:ascii="Times New Roman" w:hAnsi="Times New Roman"/>
          <w:sz w:val="28"/>
          <w:szCs w:val="28"/>
        </w:rPr>
        <w:t>i</w:t>
      </w:r>
      <w:r w:rsidRPr="00A07B2C">
        <w:rPr>
          <w:rFonts w:ascii="Times New Roman" w:hAnsi="Times New Roman"/>
          <w:sz w:val="28"/>
          <w:szCs w:val="28"/>
        </w:rPr>
        <w:t xml:space="preserve"> e congrue, </w:t>
      </w:r>
      <w:r w:rsidR="00DE2C35">
        <w:rPr>
          <w:rFonts w:ascii="Times New Roman" w:hAnsi="Times New Roman"/>
          <w:sz w:val="28"/>
          <w:szCs w:val="28"/>
        </w:rPr>
        <w:t xml:space="preserve">essi dovranno essere provvisoriamente </w:t>
      </w:r>
      <w:r w:rsidRPr="00A07B2C">
        <w:rPr>
          <w:rFonts w:ascii="Times New Roman" w:hAnsi="Times New Roman"/>
          <w:sz w:val="28"/>
          <w:szCs w:val="28"/>
        </w:rPr>
        <w:t xml:space="preserve">riconosciuti ai difensori dei procedenti e degli intervenuti </w:t>
      </w:r>
      <w:r w:rsidR="00DE2C35">
        <w:rPr>
          <w:rFonts w:ascii="Times New Roman" w:hAnsi="Times New Roman"/>
          <w:sz w:val="28"/>
          <w:szCs w:val="28"/>
        </w:rPr>
        <w:t>nella misura de</w:t>
      </w:r>
      <w:r w:rsidRPr="00A07B2C">
        <w:rPr>
          <w:rFonts w:ascii="Times New Roman" w:hAnsi="Times New Roman"/>
          <w:sz w:val="28"/>
          <w:szCs w:val="28"/>
        </w:rPr>
        <w:t xml:space="preserve">i compensi medi del pertinente scaglione tariffario di cui alla tabelle 6 e 18 del Decreto ministeriale n. 55 del 2014, oltre agli accessori di legge previsti per tale genere di </w:t>
      </w:r>
      <w:r w:rsidR="00DE2C35">
        <w:rPr>
          <w:rFonts w:ascii="Times New Roman" w:hAnsi="Times New Roman"/>
          <w:sz w:val="28"/>
          <w:szCs w:val="28"/>
        </w:rPr>
        <w:t>competenze, ed inseriti per tali consistenze nel progetto distributivo.</w:t>
      </w:r>
    </w:p>
    <w:p w14:paraId="711D0196" w14:textId="351566AB" w:rsidR="00DE2C35" w:rsidRPr="00A07B2C" w:rsidRDefault="00DE2C35" w:rsidP="00452A72">
      <w:pPr>
        <w:ind w:firstLine="708"/>
        <w:rPr>
          <w:rFonts w:ascii="Times New Roman" w:hAnsi="Times New Roman"/>
          <w:sz w:val="28"/>
          <w:szCs w:val="28"/>
        </w:rPr>
      </w:pPr>
      <w:r w:rsidRPr="00A07B2C">
        <w:rPr>
          <w:rFonts w:ascii="Times New Roman" w:hAnsi="Times New Roman"/>
          <w:sz w:val="28"/>
          <w:szCs w:val="28"/>
        </w:rPr>
        <w:t xml:space="preserve">Per quanto ovvio, in caso siano richiesti compensi inferiori ai compensi medi, il delegato si atterrà alla nota di liquidazione sottoposta dal legale. Resta salva la </w:t>
      </w:r>
      <w:r w:rsidRPr="00A07B2C">
        <w:rPr>
          <w:rFonts w:ascii="Times New Roman" w:hAnsi="Times New Roman"/>
          <w:sz w:val="28"/>
          <w:szCs w:val="28"/>
        </w:rPr>
        <w:lastRenderedPageBreak/>
        <w:t xml:space="preserve">possibilità per il delegato, nel solo caso di </w:t>
      </w:r>
      <w:r w:rsidRPr="00452A72">
        <w:rPr>
          <w:rFonts w:ascii="Times New Roman" w:hAnsi="Times New Roman"/>
          <w:sz w:val="28"/>
          <w:szCs w:val="28"/>
          <w:u w:val="single"/>
        </w:rPr>
        <w:t>specialissime difficoltà</w:t>
      </w:r>
      <w:r w:rsidRPr="00A07B2C">
        <w:rPr>
          <w:rFonts w:ascii="Times New Roman" w:hAnsi="Times New Roman"/>
          <w:sz w:val="28"/>
          <w:szCs w:val="28"/>
        </w:rPr>
        <w:t xml:space="preserve"> nel procedere alle attività liquidatorie a motivo delle particolari </w:t>
      </w:r>
      <w:r w:rsidR="00452A72">
        <w:rPr>
          <w:rFonts w:ascii="Times New Roman" w:hAnsi="Times New Roman"/>
          <w:sz w:val="28"/>
          <w:szCs w:val="28"/>
        </w:rPr>
        <w:t xml:space="preserve">e atipiche </w:t>
      </w:r>
      <w:r w:rsidRPr="00A07B2C">
        <w:rPr>
          <w:rFonts w:ascii="Times New Roman" w:hAnsi="Times New Roman"/>
          <w:sz w:val="28"/>
          <w:szCs w:val="28"/>
        </w:rPr>
        <w:t>specificità del procedimento</w:t>
      </w:r>
      <w:r w:rsidR="00452A72">
        <w:rPr>
          <w:rFonts w:ascii="Times New Roman" w:hAnsi="Times New Roman"/>
          <w:sz w:val="28"/>
          <w:szCs w:val="28"/>
        </w:rPr>
        <w:t xml:space="preserve"> e dell’attività svolta dallo specifico difensore</w:t>
      </w:r>
      <w:r w:rsidRPr="00A07B2C">
        <w:rPr>
          <w:rFonts w:ascii="Times New Roman" w:hAnsi="Times New Roman"/>
          <w:sz w:val="28"/>
          <w:szCs w:val="28"/>
        </w:rPr>
        <w:t xml:space="preserve">, di richiedere istruzioni apposite al giudice dell'esecuzione a norma dell'articolo 591 ter </w:t>
      </w:r>
      <w:proofErr w:type="spellStart"/>
      <w:r w:rsidRPr="00A07B2C">
        <w:rPr>
          <w:rFonts w:ascii="Times New Roman" w:hAnsi="Times New Roman"/>
          <w:sz w:val="28"/>
          <w:szCs w:val="28"/>
        </w:rPr>
        <w:t>c.p.c.</w:t>
      </w:r>
      <w:proofErr w:type="spellEnd"/>
    </w:p>
    <w:p w14:paraId="229CB3CD" w14:textId="4C9434D6" w:rsidR="00A07B2C" w:rsidRPr="00A07B2C" w:rsidRDefault="00DE2C35" w:rsidP="00DE2C3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Quanto agli </w:t>
      </w:r>
      <w:r w:rsidRPr="00452A72">
        <w:rPr>
          <w:rFonts w:ascii="Times New Roman" w:hAnsi="Times New Roman"/>
          <w:b/>
          <w:sz w:val="28"/>
          <w:szCs w:val="28"/>
          <w:u w:val="single"/>
        </w:rPr>
        <w:t>adempimenti delle cancellerie</w:t>
      </w:r>
      <w:r>
        <w:rPr>
          <w:rFonts w:ascii="Times New Roman" w:hAnsi="Times New Roman"/>
          <w:sz w:val="28"/>
          <w:szCs w:val="28"/>
        </w:rPr>
        <w:t xml:space="preserve">, </w:t>
      </w:r>
      <w:r w:rsidR="00A07B2C" w:rsidRPr="00A07B2C">
        <w:rPr>
          <w:rFonts w:ascii="Times New Roman" w:hAnsi="Times New Roman"/>
          <w:sz w:val="28"/>
          <w:szCs w:val="28"/>
        </w:rPr>
        <w:t xml:space="preserve">si dispone che per il futuro queste ultime </w:t>
      </w:r>
      <w:r w:rsidR="001A28E3">
        <w:rPr>
          <w:rFonts w:ascii="Times New Roman" w:hAnsi="Times New Roman"/>
          <w:sz w:val="28"/>
          <w:szCs w:val="28"/>
        </w:rPr>
        <w:t xml:space="preserve">con effetto immediato </w:t>
      </w:r>
      <w:r w:rsidR="00A07B2C" w:rsidRPr="00A07B2C">
        <w:rPr>
          <w:rFonts w:ascii="Times New Roman" w:hAnsi="Times New Roman"/>
          <w:sz w:val="28"/>
          <w:szCs w:val="28"/>
        </w:rPr>
        <w:t xml:space="preserve">non evidenzino più in visione ai magistrati </w:t>
      </w:r>
      <w:r>
        <w:rPr>
          <w:rFonts w:ascii="Times New Roman" w:hAnsi="Times New Roman"/>
          <w:sz w:val="28"/>
          <w:szCs w:val="28"/>
        </w:rPr>
        <w:t xml:space="preserve">su Consolle </w:t>
      </w:r>
      <w:r w:rsidR="00A07B2C" w:rsidRPr="00A07B2C">
        <w:rPr>
          <w:rFonts w:ascii="Times New Roman" w:hAnsi="Times New Roman"/>
          <w:sz w:val="28"/>
          <w:szCs w:val="28"/>
        </w:rPr>
        <w:t xml:space="preserve">le note di precisazione dei crediti sottoposte dai legali che assistono i creditori precedenti o intervenuti, </w:t>
      </w:r>
      <w:r>
        <w:rPr>
          <w:rFonts w:ascii="Times New Roman" w:hAnsi="Times New Roman"/>
          <w:sz w:val="28"/>
          <w:szCs w:val="28"/>
        </w:rPr>
        <w:t xml:space="preserve">in quanto esse – una volte inserite nel PCT – sono direttamente esaminabili </w:t>
      </w:r>
      <w:r w:rsidR="00A07B2C" w:rsidRPr="00A07B2C">
        <w:rPr>
          <w:rFonts w:ascii="Times New Roman" w:hAnsi="Times New Roman"/>
          <w:sz w:val="28"/>
          <w:szCs w:val="28"/>
        </w:rPr>
        <w:t xml:space="preserve">da parte dei delegati alle vendite, i quali si atterranno </w:t>
      </w:r>
      <w:r>
        <w:rPr>
          <w:rFonts w:ascii="Times New Roman" w:hAnsi="Times New Roman"/>
          <w:sz w:val="28"/>
          <w:szCs w:val="28"/>
        </w:rPr>
        <w:t>pertanto alle indicazioni precedentemente esposte.</w:t>
      </w:r>
    </w:p>
    <w:p w14:paraId="6A512193" w14:textId="0EA08936" w:rsidR="00A07B2C" w:rsidRDefault="00DE2C35" w:rsidP="00DE2C3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professionisti in </w:t>
      </w:r>
      <w:proofErr w:type="gramStart"/>
      <w:r>
        <w:rPr>
          <w:rFonts w:ascii="Times New Roman" w:hAnsi="Times New Roman"/>
          <w:sz w:val="28"/>
          <w:szCs w:val="28"/>
        </w:rPr>
        <w:t xml:space="preserve">indirizzo </w:t>
      </w:r>
      <w:r w:rsidR="00A07B2C" w:rsidRPr="00A07B2C">
        <w:rPr>
          <w:rFonts w:ascii="Times New Roman" w:hAnsi="Times New Roman"/>
          <w:sz w:val="28"/>
          <w:szCs w:val="28"/>
        </w:rPr>
        <w:t xml:space="preserve"> </w:t>
      </w:r>
      <w:r w:rsidR="00452A72">
        <w:rPr>
          <w:rFonts w:ascii="Times New Roman" w:hAnsi="Times New Roman"/>
          <w:sz w:val="28"/>
          <w:szCs w:val="28"/>
        </w:rPr>
        <w:t>daranno</w:t>
      </w:r>
      <w:proofErr w:type="gramEnd"/>
      <w:r w:rsidR="00452A72">
        <w:rPr>
          <w:rFonts w:ascii="Times New Roman" w:hAnsi="Times New Roman"/>
          <w:sz w:val="28"/>
          <w:szCs w:val="28"/>
        </w:rPr>
        <w:t xml:space="preserve"> attuazione </w:t>
      </w:r>
      <w:r w:rsidR="00A07B2C" w:rsidRPr="00A07B2C">
        <w:rPr>
          <w:rFonts w:ascii="Times New Roman" w:hAnsi="Times New Roman"/>
          <w:sz w:val="28"/>
          <w:szCs w:val="28"/>
        </w:rPr>
        <w:t>alle presenti istruzioni, che vanno ad integrare le deleghe di vendita già conferite, in quanto provenienti da tutti</w:t>
      </w:r>
      <w:r w:rsidR="00452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 da ciascun giudice</w:t>
      </w:r>
      <w:r w:rsidR="00A07B2C" w:rsidRPr="00A07B2C">
        <w:rPr>
          <w:rFonts w:ascii="Times New Roman" w:hAnsi="Times New Roman"/>
          <w:sz w:val="28"/>
          <w:szCs w:val="28"/>
        </w:rPr>
        <w:t xml:space="preserve"> della Sezione, che le hanno concertate ed approvate nell</w:t>
      </w:r>
      <w:r w:rsidR="00452A72">
        <w:rPr>
          <w:rFonts w:ascii="Times New Roman" w:hAnsi="Times New Roman"/>
          <w:sz w:val="28"/>
          <w:szCs w:val="28"/>
        </w:rPr>
        <w:t xml:space="preserve">e </w:t>
      </w:r>
      <w:r>
        <w:rPr>
          <w:rFonts w:ascii="Times New Roman" w:hAnsi="Times New Roman"/>
          <w:sz w:val="28"/>
          <w:szCs w:val="28"/>
        </w:rPr>
        <w:t>apposit</w:t>
      </w:r>
      <w:r w:rsidR="00452A72">
        <w:rPr>
          <w:rFonts w:ascii="Times New Roman" w:hAnsi="Times New Roman"/>
          <w:sz w:val="28"/>
          <w:szCs w:val="28"/>
        </w:rPr>
        <w:t>e</w:t>
      </w:r>
      <w:r w:rsidR="00A07B2C" w:rsidRPr="00A07B2C">
        <w:rPr>
          <w:rFonts w:ascii="Times New Roman" w:hAnsi="Times New Roman"/>
          <w:sz w:val="28"/>
          <w:szCs w:val="28"/>
        </w:rPr>
        <w:t xml:space="preserve"> riunion</w:t>
      </w:r>
      <w:r w:rsidR="00452A72">
        <w:rPr>
          <w:rFonts w:ascii="Times New Roman" w:hAnsi="Times New Roman"/>
          <w:sz w:val="28"/>
          <w:szCs w:val="28"/>
        </w:rPr>
        <w:t>i</w:t>
      </w:r>
      <w:r w:rsidR="00A07B2C" w:rsidRPr="00A07B2C">
        <w:rPr>
          <w:rFonts w:ascii="Times New Roman" w:hAnsi="Times New Roman"/>
          <w:sz w:val="28"/>
          <w:szCs w:val="28"/>
        </w:rPr>
        <w:t xml:space="preserve"> organizzativ</w:t>
      </w:r>
      <w:r w:rsidR="00452A72">
        <w:rPr>
          <w:rFonts w:ascii="Times New Roman" w:hAnsi="Times New Roman"/>
          <w:sz w:val="28"/>
          <w:szCs w:val="28"/>
        </w:rPr>
        <w:t>e</w:t>
      </w:r>
      <w:r w:rsidR="00A07B2C" w:rsidRPr="00A07B2C">
        <w:rPr>
          <w:rFonts w:ascii="Times New Roman" w:hAnsi="Times New Roman"/>
          <w:sz w:val="28"/>
          <w:szCs w:val="28"/>
        </w:rPr>
        <w:t xml:space="preserve"> del 16</w:t>
      </w:r>
      <w:r>
        <w:rPr>
          <w:rFonts w:ascii="Times New Roman" w:hAnsi="Times New Roman"/>
          <w:sz w:val="28"/>
          <w:szCs w:val="28"/>
        </w:rPr>
        <w:t xml:space="preserve"> e 23 </w:t>
      </w:r>
      <w:r w:rsidR="00A07B2C" w:rsidRPr="00A07B2C">
        <w:rPr>
          <w:rFonts w:ascii="Times New Roman" w:hAnsi="Times New Roman"/>
          <w:sz w:val="28"/>
          <w:szCs w:val="28"/>
        </w:rPr>
        <w:t xml:space="preserve"> settembre scorso.</w:t>
      </w:r>
    </w:p>
    <w:p w14:paraId="20CD2873" w14:textId="7B3CCE89" w:rsidR="005E0904" w:rsidRPr="005E0904" w:rsidRDefault="005E0904" w:rsidP="00DE2C35">
      <w:pPr>
        <w:ind w:firstLine="708"/>
        <w:rPr>
          <w:rFonts w:ascii="Times New Roman" w:hAnsi="Times New Roman"/>
          <w:b/>
          <w:i/>
          <w:sz w:val="22"/>
          <w:szCs w:val="22"/>
        </w:rPr>
      </w:pPr>
      <w:r w:rsidRPr="005E0904">
        <w:rPr>
          <w:rFonts w:ascii="Times New Roman" w:hAnsi="Times New Roman"/>
          <w:b/>
          <w:i/>
          <w:sz w:val="22"/>
          <w:szCs w:val="22"/>
        </w:rPr>
        <w:t>Per affissione e comunicazione attraverso i canali comunicativi deli OO.PP e internet.</w:t>
      </w:r>
    </w:p>
    <w:p w14:paraId="0632EB5D" w14:textId="77777777" w:rsidR="005E0904" w:rsidRDefault="007E068E" w:rsidP="005E0904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Genova, </w:t>
      </w:r>
      <w:r w:rsidR="005E0904"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 xml:space="preserve">settembre 2021                     </w:t>
      </w:r>
    </w:p>
    <w:p w14:paraId="0B7C2166" w14:textId="6A7BF4FF" w:rsidR="007E068E" w:rsidRDefault="007E068E" w:rsidP="007E068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Presidente di Sezione</w:t>
      </w:r>
    </w:p>
    <w:p w14:paraId="3923905F" w14:textId="6F04E326" w:rsidR="007E068E" w:rsidRDefault="007E068E" w:rsidP="007E068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0904">
        <w:rPr>
          <w:rFonts w:ascii="Times New Roman" w:hAnsi="Times New Roman"/>
          <w:sz w:val="28"/>
          <w:szCs w:val="28"/>
        </w:rPr>
        <w:t>dr</w:t>
      </w:r>
      <w:r>
        <w:rPr>
          <w:rFonts w:ascii="Times New Roman" w:hAnsi="Times New Roman"/>
          <w:sz w:val="28"/>
          <w:szCs w:val="28"/>
        </w:rPr>
        <w:t>. Roberto Braccialini</w:t>
      </w:r>
    </w:p>
    <w:p w14:paraId="164F95CF" w14:textId="5B661B66" w:rsidR="005E0904" w:rsidRPr="00840D67" w:rsidRDefault="005E0904" w:rsidP="007E068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736084B" wp14:editId="4C1ACE1F">
            <wp:extent cx="2129050" cy="941070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unga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723" cy="96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0904" w:rsidRPr="00840D67" w:rsidSect="00654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F8"/>
    <w:rsid w:val="00017818"/>
    <w:rsid w:val="001A28E3"/>
    <w:rsid w:val="002E42EC"/>
    <w:rsid w:val="003D2E33"/>
    <w:rsid w:val="00452A72"/>
    <w:rsid w:val="00542037"/>
    <w:rsid w:val="005E0904"/>
    <w:rsid w:val="0062047C"/>
    <w:rsid w:val="00654284"/>
    <w:rsid w:val="006D548F"/>
    <w:rsid w:val="00793E5F"/>
    <w:rsid w:val="007E068E"/>
    <w:rsid w:val="00840D67"/>
    <w:rsid w:val="008804DE"/>
    <w:rsid w:val="008B1301"/>
    <w:rsid w:val="008B74F8"/>
    <w:rsid w:val="00936299"/>
    <w:rsid w:val="009D4844"/>
    <w:rsid w:val="00A07B2C"/>
    <w:rsid w:val="00AC0F8D"/>
    <w:rsid w:val="00AD1783"/>
    <w:rsid w:val="00D3094B"/>
    <w:rsid w:val="00D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B59A"/>
  <w15:docId w15:val="{229B3115-412D-4E54-940C-9596F675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74F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4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4F8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E068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Enfasicorsivo">
    <w:name w:val="Emphasis"/>
    <w:basedOn w:val="Carpredefinitoparagrafo"/>
    <w:uiPriority w:val="20"/>
    <w:qFormat/>
    <w:rsid w:val="007E068E"/>
    <w:rPr>
      <w:i/>
      <w:iCs/>
    </w:rPr>
  </w:style>
  <w:style w:type="character" w:styleId="Enfasigrassetto">
    <w:name w:val="Strong"/>
    <w:basedOn w:val="Carpredefinitoparagrafo"/>
    <w:uiPriority w:val="22"/>
    <w:qFormat/>
    <w:rsid w:val="007E0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3" ma:contentTypeDescription="Creare un nuovo documento." ma:contentTypeScope="" ma:versionID="070bcc82425329300d89be2af36c23f7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baaf3e6aea43626dd855f1452df69e03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E1808B-FE9E-41A6-903D-5B4111DF2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CADB4-2067-4266-8574-7458BC1B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83F4B-2D89-4477-B829-EC10DFF666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robert.braccialini</dc:creator>
  <cp:lastModifiedBy>Account Microsoft</cp:lastModifiedBy>
  <cp:revision>4</cp:revision>
  <cp:lastPrinted>2018-11-08T09:58:00Z</cp:lastPrinted>
  <dcterms:created xsi:type="dcterms:W3CDTF">2021-09-25T08:04:00Z</dcterms:created>
  <dcterms:modified xsi:type="dcterms:W3CDTF">2021-09-27T07:48:00Z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